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2C4" w:rsidRPr="00F2402D" w:rsidRDefault="00467BE4" w:rsidP="00F2402D">
      <w:pPr>
        <w:jc w:val="both"/>
        <w:rPr>
          <w:b/>
          <w:sz w:val="28"/>
          <w:szCs w:val="28"/>
        </w:rPr>
      </w:pPr>
      <w:r>
        <w:rPr>
          <w:b/>
          <w:sz w:val="28"/>
          <w:szCs w:val="28"/>
        </w:rPr>
        <w:t xml:space="preserve">CORSO </w:t>
      </w:r>
      <w:r w:rsidRPr="00F2402D">
        <w:rPr>
          <w:b/>
          <w:sz w:val="28"/>
          <w:szCs w:val="28"/>
        </w:rPr>
        <w:t>DALL’ACCERTAMENTO AL CONTENZIOSO FISCALE: BENEVENTO 2014</w:t>
      </w:r>
    </w:p>
    <w:p w:rsidR="00F2402D" w:rsidRDefault="00F2402D" w:rsidP="00F2402D">
      <w:pPr>
        <w:jc w:val="both"/>
        <w:rPr>
          <w:b/>
          <w:sz w:val="28"/>
          <w:szCs w:val="28"/>
        </w:rPr>
      </w:pPr>
    </w:p>
    <w:p w:rsidR="00467BE4" w:rsidRPr="00363CC1" w:rsidRDefault="00467BE4" w:rsidP="00F2402D">
      <w:pPr>
        <w:jc w:val="both"/>
        <w:rPr>
          <w:b/>
          <w:sz w:val="28"/>
          <w:szCs w:val="28"/>
        </w:rPr>
      </w:pPr>
    </w:p>
    <w:p w:rsidR="00363CC1" w:rsidRPr="00834F77" w:rsidRDefault="006227AD" w:rsidP="00F2402D">
      <w:pPr>
        <w:jc w:val="both"/>
      </w:pPr>
      <w:r w:rsidRPr="00834F77">
        <w:t>Il corso deve avere un obiettivo ben preciso: avvicinare i colleghi alla gestione “base” del rapporto con il fisco. Dunque serve analizzare gli aspetti salienti sia del controllo, sia del dialogo con l’amministrazione finanziaria, sia del contenzioso. L’ottica deve andare dalla programmazione del controllo alla gestione della lite, con uno sguardo particolare alle casistiche più diffuse, vale a dire redditometro, indagini finanziarie, controlli tipici dei componenti d’impresa, incrocio “registro-dirette”, valenza studi di settore. Dopo di che si analizzano i rapporti con il fisco, per finire con il contenzioso tributario</w:t>
      </w:r>
    </w:p>
    <w:p w:rsidR="006227AD" w:rsidRPr="00834F77" w:rsidRDefault="006227AD" w:rsidP="00F2402D">
      <w:pPr>
        <w:jc w:val="both"/>
      </w:pPr>
    </w:p>
    <w:p w:rsidR="00834F77" w:rsidRDefault="00834F77" w:rsidP="00F2402D">
      <w:pPr>
        <w:jc w:val="both"/>
        <w:rPr>
          <w:b/>
        </w:rPr>
      </w:pPr>
    </w:p>
    <w:p w:rsidR="00834F77" w:rsidRDefault="00834F77" w:rsidP="00F2402D">
      <w:pPr>
        <w:jc w:val="both"/>
        <w:rPr>
          <w:b/>
        </w:rPr>
      </w:pPr>
    </w:p>
    <w:p w:rsidR="00A11C28" w:rsidRDefault="00A11C28" w:rsidP="00A11C28">
      <w:pPr>
        <w:jc w:val="center"/>
        <w:rPr>
          <w:b/>
          <w:sz w:val="28"/>
          <w:szCs w:val="28"/>
        </w:rPr>
      </w:pPr>
      <w:r>
        <w:rPr>
          <w:b/>
          <w:sz w:val="28"/>
          <w:szCs w:val="28"/>
        </w:rPr>
        <w:t xml:space="preserve">28-05-2014 ore 15,00/18,30 </w:t>
      </w:r>
    </w:p>
    <w:p w:rsidR="006227AD" w:rsidRPr="00834F77" w:rsidRDefault="006227AD" w:rsidP="00A11C28">
      <w:pPr>
        <w:jc w:val="center"/>
        <w:rPr>
          <w:b/>
          <w:sz w:val="28"/>
          <w:szCs w:val="28"/>
        </w:rPr>
      </w:pPr>
      <w:r w:rsidRPr="00834F77">
        <w:rPr>
          <w:b/>
          <w:sz w:val="28"/>
          <w:szCs w:val="28"/>
        </w:rPr>
        <w:t>I giornata: selezione del contribuente, redditometro e indagini finanziarie</w:t>
      </w:r>
    </w:p>
    <w:p w:rsidR="006227AD" w:rsidRDefault="006227AD" w:rsidP="00F2402D">
      <w:pPr>
        <w:jc w:val="both"/>
        <w:rPr>
          <w:b/>
        </w:rPr>
      </w:pPr>
    </w:p>
    <w:p w:rsidR="008B7411" w:rsidRPr="00DD5C47" w:rsidRDefault="008B7411" w:rsidP="00F2402D">
      <w:pPr>
        <w:jc w:val="both"/>
        <w:rPr>
          <w:b/>
        </w:rPr>
      </w:pPr>
      <w:r w:rsidRPr="00DD5C47">
        <w:rPr>
          <w:b/>
        </w:rPr>
        <w:t>La selezione del contribuente</w:t>
      </w:r>
      <w:r w:rsidR="00613A38" w:rsidRPr="00DD5C47">
        <w:rPr>
          <w:b/>
        </w:rPr>
        <w:t xml:space="preserve"> ed il ruolo del professionista</w:t>
      </w:r>
    </w:p>
    <w:p w:rsidR="00613A38" w:rsidRPr="00DD5C47" w:rsidRDefault="00613A38" w:rsidP="00F2402D">
      <w:pPr>
        <w:numPr>
          <w:ilvl w:val="1"/>
          <w:numId w:val="14"/>
        </w:numPr>
        <w:jc w:val="both"/>
      </w:pPr>
      <w:r w:rsidRPr="00DD5C47">
        <w:t>La sentenza n. 9916 del 2010 della Corte di Cassazione: la responsabilità del professionista</w:t>
      </w:r>
    </w:p>
    <w:p w:rsidR="00657F1B" w:rsidRPr="00DD5C47" w:rsidRDefault="008B7411" w:rsidP="00F2402D">
      <w:pPr>
        <w:numPr>
          <w:ilvl w:val="1"/>
          <w:numId w:val="14"/>
        </w:numPr>
        <w:jc w:val="both"/>
      </w:pPr>
      <w:r w:rsidRPr="00DD5C47">
        <w:t xml:space="preserve">Il ruolo di </w:t>
      </w:r>
      <w:r w:rsidR="00657F1B">
        <w:t xml:space="preserve">studi di settore, redditometro e </w:t>
      </w:r>
      <w:r w:rsidRPr="00DD5C47">
        <w:t xml:space="preserve">indagini finanziarie </w:t>
      </w:r>
    </w:p>
    <w:p w:rsidR="008B7411" w:rsidRPr="00DD5C47" w:rsidRDefault="00657F1B" w:rsidP="00F2402D">
      <w:pPr>
        <w:numPr>
          <w:ilvl w:val="1"/>
          <w:numId w:val="14"/>
        </w:numPr>
        <w:jc w:val="both"/>
      </w:pPr>
      <w:r>
        <w:t>Le informa</w:t>
      </w:r>
      <w:r w:rsidR="008B7411" w:rsidRPr="00DD5C47">
        <w:t>zioni disponibili per il fisco</w:t>
      </w:r>
    </w:p>
    <w:p w:rsidR="00657F1B" w:rsidRPr="00DD5C47" w:rsidRDefault="00657F1B" w:rsidP="00F2402D">
      <w:pPr>
        <w:numPr>
          <w:ilvl w:val="1"/>
          <w:numId w:val="14"/>
        </w:numPr>
        <w:jc w:val="both"/>
      </w:pPr>
      <w:r w:rsidRPr="00DD5C47">
        <w:t>Le indicazioni delle note metodologiche ai fini dell’</w:t>
      </w:r>
      <w:proofErr w:type="spellStart"/>
      <w:r w:rsidRPr="00DD5C47">
        <w:t>acc.to</w:t>
      </w:r>
      <w:proofErr w:type="spellEnd"/>
    </w:p>
    <w:p w:rsidR="008B7411" w:rsidRPr="00DD5C47" w:rsidRDefault="008B7411" w:rsidP="00F2402D">
      <w:pPr>
        <w:jc w:val="both"/>
      </w:pPr>
    </w:p>
    <w:p w:rsidR="000B77D5" w:rsidRPr="00DD5C47" w:rsidRDefault="000B77D5" w:rsidP="00F2402D">
      <w:pPr>
        <w:jc w:val="both"/>
        <w:rPr>
          <w:b/>
        </w:rPr>
      </w:pPr>
      <w:r w:rsidRPr="00DD5C47">
        <w:rPr>
          <w:b/>
        </w:rPr>
        <w:t>Il ruolo del redditometro</w:t>
      </w:r>
    </w:p>
    <w:p w:rsidR="000B77D5" w:rsidRPr="00DD5C47" w:rsidRDefault="000B77D5" w:rsidP="00F2402D">
      <w:pPr>
        <w:numPr>
          <w:ilvl w:val="1"/>
          <w:numId w:val="15"/>
        </w:numPr>
        <w:jc w:val="both"/>
      </w:pPr>
      <w:r w:rsidRPr="00DD5C47">
        <w:t>Portata probatoria dello strumento di accertamento</w:t>
      </w:r>
    </w:p>
    <w:p w:rsidR="000B77D5" w:rsidRDefault="000B77D5" w:rsidP="00F2402D">
      <w:pPr>
        <w:numPr>
          <w:ilvl w:val="1"/>
          <w:numId w:val="15"/>
        </w:numPr>
        <w:jc w:val="both"/>
      </w:pPr>
      <w:r w:rsidRPr="00DD5C47">
        <w:t>la posizione della Corte di Cassazione sull’onere difensivo del contribuente</w:t>
      </w:r>
    </w:p>
    <w:p w:rsidR="00834F77" w:rsidRPr="00DD5C47" w:rsidRDefault="00834F77" w:rsidP="00F2402D">
      <w:pPr>
        <w:numPr>
          <w:ilvl w:val="1"/>
          <w:numId w:val="15"/>
        </w:numPr>
        <w:jc w:val="both"/>
      </w:pPr>
      <w:r>
        <w:t>i chiarimenti dell’amministrazione finanziaria</w:t>
      </w:r>
    </w:p>
    <w:p w:rsidR="000B77D5" w:rsidRPr="00DD5C47" w:rsidRDefault="000B77D5" w:rsidP="00F2402D">
      <w:pPr>
        <w:numPr>
          <w:ilvl w:val="1"/>
          <w:numId w:val="15"/>
        </w:numPr>
        <w:jc w:val="both"/>
      </w:pPr>
      <w:r w:rsidRPr="00DD5C47">
        <w:t>la necessaria difesa di merito</w:t>
      </w:r>
    </w:p>
    <w:p w:rsidR="000B77D5" w:rsidRDefault="000B77D5" w:rsidP="00F2402D">
      <w:pPr>
        <w:numPr>
          <w:ilvl w:val="1"/>
          <w:numId w:val="15"/>
        </w:numPr>
        <w:jc w:val="both"/>
      </w:pPr>
      <w:r w:rsidRPr="00DD5C47">
        <w:t>l’utilizzo degli estratti di conto corrente quale elemento difensivo</w:t>
      </w:r>
    </w:p>
    <w:p w:rsidR="00834F77" w:rsidRPr="00DD5C47" w:rsidRDefault="00834F77" w:rsidP="00F2402D">
      <w:pPr>
        <w:numPr>
          <w:ilvl w:val="1"/>
          <w:numId w:val="15"/>
        </w:numPr>
        <w:jc w:val="both"/>
      </w:pPr>
      <w:r>
        <w:t>l’indicazione dell’effettivo titolare del bene</w:t>
      </w:r>
    </w:p>
    <w:p w:rsidR="00DD5C47" w:rsidRPr="00DD5C47" w:rsidRDefault="00DD5C47" w:rsidP="00F2402D">
      <w:pPr>
        <w:ind w:left="720" w:hanging="720"/>
        <w:jc w:val="both"/>
      </w:pPr>
    </w:p>
    <w:p w:rsidR="00077AE0" w:rsidRPr="00DD5C47" w:rsidRDefault="00077AE0" w:rsidP="00F2402D">
      <w:pPr>
        <w:ind w:left="720" w:hanging="720"/>
        <w:jc w:val="both"/>
        <w:rPr>
          <w:b/>
        </w:rPr>
      </w:pPr>
      <w:r w:rsidRPr="00DD5C47">
        <w:rPr>
          <w:b/>
        </w:rPr>
        <w:t>Le indagini finanziarie</w:t>
      </w:r>
    </w:p>
    <w:p w:rsidR="00834F77" w:rsidRDefault="00834F77" w:rsidP="00F2402D">
      <w:pPr>
        <w:numPr>
          <w:ilvl w:val="0"/>
          <w:numId w:val="17"/>
        </w:numPr>
        <w:jc w:val="both"/>
      </w:pPr>
      <w:r>
        <w:t>l’anomala portata probatoria</w:t>
      </w:r>
    </w:p>
    <w:p w:rsidR="00834F77" w:rsidRDefault="00834F77" w:rsidP="00F2402D">
      <w:pPr>
        <w:numPr>
          <w:ilvl w:val="0"/>
          <w:numId w:val="17"/>
        </w:numPr>
        <w:jc w:val="both"/>
      </w:pPr>
      <w:r>
        <w:t>le modalità di indagine</w:t>
      </w:r>
    </w:p>
    <w:p w:rsidR="00077AE0" w:rsidRPr="00DD5C47" w:rsidRDefault="00834F77" w:rsidP="00F2402D">
      <w:pPr>
        <w:numPr>
          <w:ilvl w:val="0"/>
          <w:numId w:val="17"/>
        </w:numPr>
        <w:jc w:val="both"/>
      </w:pPr>
      <w:r>
        <w:t>L’utilizzo dei conti di terzi</w:t>
      </w:r>
    </w:p>
    <w:p w:rsidR="00077AE0" w:rsidRPr="00DD5C47" w:rsidRDefault="00077AE0" w:rsidP="00F2402D">
      <w:pPr>
        <w:numPr>
          <w:ilvl w:val="0"/>
          <w:numId w:val="17"/>
        </w:numPr>
        <w:jc w:val="both"/>
      </w:pPr>
      <w:r w:rsidRPr="00DD5C47">
        <w:t>l’evoluzione giurisprudenziale in materia</w:t>
      </w:r>
    </w:p>
    <w:p w:rsidR="0016743C" w:rsidRPr="00DD5C47" w:rsidRDefault="00077AE0" w:rsidP="00F2402D">
      <w:pPr>
        <w:numPr>
          <w:ilvl w:val="0"/>
          <w:numId w:val="17"/>
        </w:numPr>
        <w:jc w:val="both"/>
      </w:pPr>
      <w:r w:rsidRPr="00DD5C47">
        <w:t>il riconoscimento dei costi occulti</w:t>
      </w:r>
    </w:p>
    <w:p w:rsidR="0016743C" w:rsidRDefault="0016743C" w:rsidP="00F2402D">
      <w:pPr>
        <w:ind w:left="360"/>
        <w:jc w:val="both"/>
      </w:pPr>
    </w:p>
    <w:p w:rsidR="006227AD" w:rsidRDefault="006227AD" w:rsidP="00F2402D">
      <w:pPr>
        <w:ind w:left="360"/>
        <w:jc w:val="both"/>
      </w:pPr>
    </w:p>
    <w:p w:rsidR="00B7493D" w:rsidRDefault="00B7493D" w:rsidP="00F2402D">
      <w:pPr>
        <w:ind w:left="360"/>
        <w:jc w:val="both"/>
      </w:pPr>
    </w:p>
    <w:p w:rsidR="00A11C28" w:rsidRDefault="00A11C28" w:rsidP="00A11C28">
      <w:pPr>
        <w:jc w:val="center"/>
        <w:rPr>
          <w:b/>
          <w:sz w:val="28"/>
          <w:szCs w:val="28"/>
        </w:rPr>
      </w:pPr>
      <w:r>
        <w:rPr>
          <w:b/>
          <w:sz w:val="28"/>
          <w:szCs w:val="28"/>
        </w:rPr>
        <w:t>29-05-2014 ore 9,30/13,00</w:t>
      </w:r>
    </w:p>
    <w:p w:rsidR="00363CC1" w:rsidRPr="00834F77" w:rsidRDefault="006227AD" w:rsidP="00F2402D">
      <w:pPr>
        <w:jc w:val="both"/>
        <w:rPr>
          <w:b/>
          <w:sz w:val="28"/>
          <w:szCs w:val="28"/>
        </w:rPr>
      </w:pPr>
      <w:r w:rsidRPr="00834F77">
        <w:rPr>
          <w:b/>
          <w:sz w:val="28"/>
          <w:szCs w:val="28"/>
        </w:rPr>
        <w:t>II giornata: controlli tipici sulle partite IVA</w:t>
      </w:r>
    </w:p>
    <w:p w:rsidR="006227AD" w:rsidRDefault="006227AD" w:rsidP="00F2402D">
      <w:pPr>
        <w:jc w:val="both"/>
      </w:pPr>
    </w:p>
    <w:p w:rsidR="006227AD" w:rsidRPr="006227AD" w:rsidRDefault="006227AD" w:rsidP="00F2402D">
      <w:pPr>
        <w:jc w:val="both"/>
        <w:rPr>
          <w:b/>
        </w:rPr>
      </w:pPr>
      <w:r w:rsidRPr="006227AD">
        <w:rPr>
          <w:b/>
        </w:rPr>
        <w:t>L’accertamento</w:t>
      </w:r>
    </w:p>
    <w:p w:rsidR="006227AD" w:rsidRDefault="006227AD" w:rsidP="00F2402D">
      <w:pPr>
        <w:numPr>
          <w:ilvl w:val="0"/>
          <w:numId w:val="18"/>
        </w:numPr>
        <w:jc w:val="both"/>
      </w:pPr>
      <w:r>
        <w:t>Le diverse tipologie di accertamento: analitico, analitico/induttivo, induttivo</w:t>
      </w:r>
    </w:p>
    <w:p w:rsidR="006227AD" w:rsidRDefault="006227AD" w:rsidP="00F2402D">
      <w:pPr>
        <w:numPr>
          <w:ilvl w:val="0"/>
          <w:numId w:val="18"/>
        </w:numPr>
        <w:jc w:val="both"/>
      </w:pPr>
      <w:r>
        <w:t>I componenti reddituali frequentemente analizzati</w:t>
      </w:r>
    </w:p>
    <w:p w:rsidR="006227AD" w:rsidRDefault="006227AD" w:rsidP="00F2402D">
      <w:pPr>
        <w:numPr>
          <w:ilvl w:val="0"/>
          <w:numId w:val="18"/>
        </w:numPr>
        <w:jc w:val="both"/>
      </w:pPr>
      <w:r>
        <w:t>Il conto cassa e gli interventi dei soci</w:t>
      </w:r>
    </w:p>
    <w:p w:rsidR="006227AD" w:rsidRDefault="006227AD" w:rsidP="00F2402D">
      <w:pPr>
        <w:numPr>
          <w:ilvl w:val="0"/>
          <w:numId w:val="18"/>
        </w:numPr>
        <w:jc w:val="both"/>
      </w:pPr>
      <w:r>
        <w:t>Le variazioni delle rimanenze</w:t>
      </w:r>
    </w:p>
    <w:p w:rsidR="006227AD" w:rsidRDefault="006227AD" w:rsidP="00F2402D">
      <w:pPr>
        <w:numPr>
          <w:ilvl w:val="0"/>
          <w:numId w:val="18"/>
        </w:numPr>
        <w:jc w:val="both"/>
      </w:pPr>
      <w:r>
        <w:lastRenderedPageBreak/>
        <w:t>L’incidenza delle “quantità del venduto”</w:t>
      </w:r>
    </w:p>
    <w:p w:rsidR="006227AD" w:rsidRDefault="006227AD" w:rsidP="00F2402D">
      <w:pPr>
        <w:numPr>
          <w:ilvl w:val="0"/>
          <w:numId w:val="18"/>
        </w:numPr>
        <w:jc w:val="both"/>
      </w:pPr>
      <w:r>
        <w:t>La modalità tipica di ricostruzione dell’attività svolta</w:t>
      </w:r>
    </w:p>
    <w:p w:rsidR="006227AD" w:rsidRDefault="006227AD" w:rsidP="00F2402D">
      <w:pPr>
        <w:numPr>
          <w:ilvl w:val="0"/>
          <w:numId w:val="18"/>
        </w:numPr>
        <w:jc w:val="both"/>
      </w:pPr>
      <w:r>
        <w:t>Le schede carburanti</w:t>
      </w:r>
    </w:p>
    <w:p w:rsidR="006227AD" w:rsidRDefault="006227AD" w:rsidP="00F2402D">
      <w:pPr>
        <w:numPr>
          <w:ilvl w:val="0"/>
          <w:numId w:val="18"/>
        </w:numPr>
        <w:jc w:val="both"/>
      </w:pPr>
      <w:r>
        <w:t>Le perdite su crediti</w:t>
      </w:r>
    </w:p>
    <w:p w:rsidR="006227AD" w:rsidRDefault="006227AD" w:rsidP="00F2402D">
      <w:pPr>
        <w:numPr>
          <w:ilvl w:val="0"/>
          <w:numId w:val="18"/>
        </w:numPr>
        <w:jc w:val="both"/>
      </w:pPr>
      <w:r>
        <w:t>I</w:t>
      </w:r>
      <w:r w:rsidRPr="00DD5C47">
        <w:t>l trattamento dei costi non di competenza</w:t>
      </w:r>
    </w:p>
    <w:p w:rsidR="00F2402D" w:rsidRPr="00DD5C47" w:rsidRDefault="00F2402D" w:rsidP="00F2402D">
      <w:pPr>
        <w:numPr>
          <w:ilvl w:val="0"/>
          <w:numId w:val="18"/>
        </w:numPr>
        <w:jc w:val="both"/>
      </w:pPr>
      <w:r>
        <w:t>Le fatture false</w:t>
      </w:r>
    </w:p>
    <w:p w:rsidR="00834F77" w:rsidRDefault="00834F77" w:rsidP="00F2402D">
      <w:pPr>
        <w:numPr>
          <w:ilvl w:val="0"/>
          <w:numId w:val="18"/>
        </w:numPr>
        <w:jc w:val="both"/>
      </w:pPr>
      <w:r w:rsidRPr="00DD5C47">
        <w:t>L’antieconomicità nei risultati aziendali e/o nelle singole operazioni economiche</w:t>
      </w:r>
    </w:p>
    <w:p w:rsidR="006227AD" w:rsidRDefault="006227AD" w:rsidP="00F2402D">
      <w:pPr>
        <w:jc w:val="both"/>
      </w:pPr>
    </w:p>
    <w:p w:rsidR="006227AD" w:rsidRPr="00DD5C47" w:rsidRDefault="006227AD" w:rsidP="00F2402D">
      <w:pPr>
        <w:jc w:val="both"/>
        <w:rPr>
          <w:b/>
        </w:rPr>
      </w:pPr>
      <w:r w:rsidRPr="00DD5C47">
        <w:rPr>
          <w:b/>
        </w:rPr>
        <w:t>L’evoluzione degli studi di settore quale strumento di selezione</w:t>
      </w:r>
    </w:p>
    <w:p w:rsidR="006227AD" w:rsidRPr="00DD5C47" w:rsidRDefault="006227AD" w:rsidP="00F2402D">
      <w:pPr>
        <w:numPr>
          <w:ilvl w:val="0"/>
          <w:numId w:val="21"/>
        </w:numPr>
        <w:jc w:val="both"/>
      </w:pPr>
      <w:r w:rsidRPr="00DD5C47">
        <w:t>La portata probatoria dello studio di settore: sentenze S.U. Cassazione del 2009</w:t>
      </w:r>
    </w:p>
    <w:p w:rsidR="00834F77" w:rsidRDefault="006227AD" w:rsidP="00F2402D">
      <w:pPr>
        <w:numPr>
          <w:ilvl w:val="0"/>
          <w:numId w:val="21"/>
        </w:numPr>
        <w:jc w:val="both"/>
      </w:pPr>
      <w:r w:rsidRPr="00DD5C47">
        <w:t>La necessità del contraddittorio e le motivazioni del contribuente</w:t>
      </w:r>
    </w:p>
    <w:p w:rsidR="00834F77" w:rsidRDefault="006227AD" w:rsidP="00F2402D">
      <w:pPr>
        <w:numPr>
          <w:ilvl w:val="0"/>
          <w:numId w:val="21"/>
        </w:numPr>
        <w:jc w:val="both"/>
      </w:pPr>
      <w:r w:rsidRPr="00DD5C47">
        <w:t>L’evoluzione normativa recente</w:t>
      </w:r>
    </w:p>
    <w:p w:rsidR="00834F77" w:rsidRDefault="006227AD" w:rsidP="00F2402D">
      <w:pPr>
        <w:numPr>
          <w:ilvl w:val="0"/>
          <w:numId w:val="21"/>
        </w:numPr>
        <w:jc w:val="both"/>
      </w:pPr>
      <w:r w:rsidRPr="00834F77">
        <w:t>L’abbinata degli studi di settore con altri accertamenti</w:t>
      </w:r>
    </w:p>
    <w:p w:rsidR="00834F77" w:rsidRPr="00834F77" w:rsidRDefault="00834F77" w:rsidP="00F2402D">
      <w:pPr>
        <w:numPr>
          <w:ilvl w:val="0"/>
          <w:numId w:val="21"/>
        </w:numPr>
        <w:jc w:val="both"/>
      </w:pPr>
      <w:r w:rsidRPr="00834F77">
        <w:t>L’utilizzo delle stime di settore</w:t>
      </w:r>
    </w:p>
    <w:p w:rsidR="006227AD" w:rsidRPr="00834F77" w:rsidRDefault="006227AD" w:rsidP="00F2402D">
      <w:pPr>
        <w:jc w:val="both"/>
      </w:pPr>
    </w:p>
    <w:p w:rsidR="00834F77" w:rsidRPr="00834F77" w:rsidRDefault="00834F77" w:rsidP="00F2402D">
      <w:pPr>
        <w:jc w:val="both"/>
        <w:rPr>
          <w:b/>
        </w:rPr>
      </w:pPr>
      <w:r w:rsidRPr="00834F77">
        <w:rPr>
          <w:b/>
        </w:rPr>
        <w:t>Gli accertamenti sulle compravendite immobiliari e gli incroci “registro/dirette”</w:t>
      </w:r>
    </w:p>
    <w:p w:rsidR="00834F77" w:rsidRDefault="00834F77" w:rsidP="00F2402D">
      <w:pPr>
        <w:numPr>
          <w:ilvl w:val="0"/>
          <w:numId w:val="22"/>
        </w:numPr>
        <w:jc w:val="both"/>
      </w:pPr>
      <w:r>
        <w:t>Le tecniche di accertamento sugli acquirenti</w:t>
      </w:r>
    </w:p>
    <w:p w:rsidR="00834F77" w:rsidRDefault="00834F77" w:rsidP="00F2402D">
      <w:pPr>
        <w:numPr>
          <w:ilvl w:val="0"/>
          <w:numId w:val="22"/>
        </w:numPr>
        <w:jc w:val="both"/>
      </w:pPr>
      <w:r>
        <w:t>La valenza del c.d. “delta mutuo”</w:t>
      </w:r>
    </w:p>
    <w:p w:rsidR="00834F77" w:rsidRDefault="00834F77" w:rsidP="00F2402D">
      <w:pPr>
        <w:numPr>
          <w:ilvl w:val="0"/>
          <w:numId w:val="22"/>
        </w:numPr>
        <w:jc w:val="both"/>
      </w:pPr>
      <w:r>
        <w:t>Le conseguenze delle adesioni ai fini dell’imposta di registro</w:t>
      </w:r>
    </w:p>
    <w:p w:rsidR="00834F77" w:rsidRDefault="00834F77" w:rsidP="00F2402D">
      <w:pPr>
        <w:numPr>
          <w:ilvl w:val="0"/>
          <w:numId w:val="22"/>
        </w:numPr>
        <w:jc w:val="both"/>
      </w:pPr>
      <w:r>
        <w:t>La valenza delle stime OMI</w:t>
      </w:r>
    </w:p>
    <w:p w:rsidR="00834F77" w:rsidRDefault="00834F77" w:rsidP="00F2402D">
      <w:pPr>
        <w:numPr>
          <w:ilvl w:val="0"/>
          <w:numId w:val="22"/>
        </w:numPr>
        <w:jc w:val="both"/>
      </w:pPr>
      <w:r>
        <w:t>Gli atti comparabili</w:t>
      </w:r>
    </w:p>
    <w:p w:rsidR="006227AD" w:rsidRDefault="006227AD" w:rsidP="00F2402D">
      <w:pPr>
        <w:jc w:val="both"/>
      </w:pPr>
    </w:p>
    <w:p w:rsidR="00834F77" w:rsidRDefault="00834F77" w:rsidP="00F2402D">
      <w:pPr>
        <w:jc w:val="both"/>
      </w:pPr>
    </w:p>
    <w:p w:rsidR="00B7493D" w:rsidRDefault="00B7493D" w:rsidP="00F2402D">
      <w:pPr>
        <w:jc w:val="both"/>
      </w:pPr>
    </w:p>
    <w:p w:rsidR="00A11C28" w:rsidRDefault="00A11C28" w:rsidP="00A11C28">
      <w:pPr>
        <w:jc w:val="center"/>
        <w:rPr>
          <w:b/>
          <w:sz w:val="28"/>
          <w:szCs w:val="28"/>
        </w:rPr>
      </w:pPr>
      <w:r>
        <w:rPr>
          <w:b/>
          <w:sz w:val="28"/>
          <w:szCs w:val="28"/>
        </w:rPr>
        <w:t>03-06-2014 ore 15,00/18,30</w:t>
      </w:r>
    </w:p>
    <w:p w:rsidR="00B7493D" w:rsidRPr="00B7493D" w:rsidRDefault="00B7493D" w:rsidP="00A11C28">
      <w:pPr>
        <w:rPr>
          <w:b/>
          <w:sz w:val="28"/>
          <w:szCs w:val="28"/>
        </w:rPr>
      </w:pPr>
      <w:r w:rsidRPr="00B7493D">
        <w:rPr>
          <w:b/>
          <w:sz w:val="28"/>
          <w:szCs w:val="28"/>
        </w:rPr>
        <w:t xml:space="preserve">III giornata: </w:t>
      </w:r>
      <w:r w:rsidR="00BC6B1B">
        <w:rPr>
          <w:b/>
          <w:sz w:val="28"/>
          <w:szCs w:val="28"/>
        </w:rPr>
        <w:t>la valutazione dell’accertamento. G</w:t>
      </w:r>
      <w:r w:rsidRPr="00B7493D">
        <w:rPr>
          <w:b/>
          <w:sz w:val="28"/>
          <w:szCs w:val="28"/>
        </w:rPr>
        <w:t>li accertamenti società/soci</w:t>
      </w:r>
      <w:r w:rsidR="00BC6B1B">
        <w:rPr>
          <w:b/>
          <w:sz w:val="28"/>
          <w:szCs w:val="28"/>
        </w:rPr>
        <w:t>, le società estinte</w:t>
      </w:r>
      <w:r w:rsidRPr="00B7493D">
        <w:rPr>
          <w:b/>
          <w:sz w:val="28"/>
          <w:szCs w:val="28"/>
        </w:rPr>
        <w:t xml:space="preserve">. </w:t>
      </w:r>
      <w:r>
        <w:rPr>
          <w:b/>
          <w:sz w:val="28"/>
          <w:szCs w:val="28"/>
        </w:rPr>
        <w:t>Lo statuto del contribuente e le prime difese: tra memorie e accertamento con adesione</w:t>
      </w:r>
    </w:p>
    <w:p w:rsidR="006227AD" w:rsidRPr="00DD5C47" w:rsidRDefault="006227AD" w:rsidP="00F2402D">
      <w:pPr>
        <w:jc w:val="both"/>
        <w:rPr>
          <w:b/>
          <w:color w:val="CC0000"/>
          <w:sz w:val="28"/>
          <w:szCs w:val="28"/>
        </w:rPr>
      </w:pPr>
    </w:p>
    <w:p w:rsidR="00BC6B1B" w:rsidRDefault="00BC6B1B" w:rsidP="00BC6B1B">
      <w:pPr>
        <w:jc w:val="both"/>
        <w:rPr>
          <w:b/>
        </w:rPr>
      </w:pPr>
      <w:r>
        <w:rPr>
          <w:b/>
        </w:rPr>
        <w:t>La valutazione dell’accertamento</w:t>
      </w:r>
    </w:p>
    <w:p w:rsidR="00BC6B1B" w:rsidRDefault="00BC6B1B" w:rsidP="00BC6B1B">
      <w:pPr>
        <w:numPr>
          <w:ilvl w:val="0"/>
          <w:numId w:val="29"/>
        </w:numPr>
        <w:jc w:val="both"/>
      </w:pPr>
      <w:r>
        <w:t>I vizi motivazionali</w:t>
      </w:r>
    </w:p>
    <w:p w:rsidR="00BC6B1B" w:rsidRDefault="00BC6B1B" w:rsidP="00BC6B1B">
      <w:pPr>
        <w:numPr>
          <w:ilvl w:val="0"/>
          <w:numId w:val="29"/>
        </w:numPr>
        <w:jc w:val="both"/>
      </w:pPr>
      <w:r>
        <w:t>Le cause di nullità</w:t>
      </w:r>
    </w:p>
    <w:p w:rsidR="00BC6B1B" w:rsidRDefault="00BC6B1B" w:rsidP="00BC6B1B">
      <w:pPr>
        <w:numPr>
          <w:ilvl w:val="0"/>
          <w:numId w:val="29"/>
        </w:numPr>
        <w:jc w:val="both"/>
      </w:pPr>
      <w:r>
        <w:t>Le motivazioni di annullamento</w:t>
      </w:r>
    </w:p>
    <w:p w:rsidR="00BC6B1B" w:rsidRDefault="00BC6B1B" w:rsidP="00BC6B1B">
      <w:pPr>
        <w:numPr>
          <w:ilvl w:val="0"/>
          <w:numId w:val="29"/>
        </w:numPr>
        <w:jc w:val="both"/>
      </w:pPr>
      <w:r>
        <w:t>Il rispetto dei termini di decadenza: il raddoppio dei termini in presenza di reati tributari</w:t>
      </w:r>
    </w:p>
    <w:p w:rsidR="00BC6B1B" w:rsidRDefault="00BC6B1B" w:rsidP="00BC6B1B">
      <w:pPr>
        <w:numPr>
          <w:ilvl w:val="0"/>
          <w:numId w:val="29"/>
        </w:numPr>
        <w:jc w:val="both"/>
      </w:pPr>
      <w:r>
        <w:t>La ricostruzione di merito</w:t>
      </w:r>
    </w:p>
    <w:p w:rsidR="00BC6B1B" w:rsidRDefault="00BC6B1B" w:rsidP="00BC6B1B">
      <w:pPr>
        <w:numPr>
          <w:ilvl w:val="0"/>
          <w:numId w:val="29"/>
        </w:numPr>
        <w:jc w:val="both"/>
      </w:pPr>
      <w:r>
        <w:t>La portata di atto esecutivo: la richiesta di sospensione</w:t>
      </w:r>
    </w:p>
    <w:p w:rsidR="00BC6B1B" w:rsidRDefault="00BC6B1B" w:rsidP="00F2402D">
      <w:pPr>
        <w:jc w:val="both"/>
        <w:rPr>
          <w:b/>
        </w:rPr>
      </w:pPr>
    </w:p>
    <w:p w:rsidR="00BC6B1B" w:rsidRDefault="00BC6B1B" w:rsidP="00F2402D">
      <w:pPr>
        <w:jc w:val="both"/>
        <w:rPr>
          <w:b/>
        </w:rPr>
      </w:pPr>
    </w:p>
    <w:p w:rsidR="006227AD" w:rsidRPr="00B7493D" w:rsidRDefault="00B7493D" w:rsidP="00F2402D">
      <w:pPr>
        <w:jc w:val="both"/>
        <w:rPr>
          <w:b/>
        </w:rPr>
      </w:pPr>
      <w:r w:rsidRPr="00B7493D">
        <w:rPr>
          <w:b/>
        </w:rPr>
        <w:t>Gli accertamenti società/soci</w:t>
      </w:r>
    </w:p>
    <w:p w:rsidR="00B7493D" w:rsidRDefault="00B7493D" w:rsidP="00F2402D">
      <w:pPr>
        <w:numPr>
          <w:ilvl w:val="0"/>
          <w:numId w:val="23"/>
        </w:numPr>
        <w:jc w:val="both"/>
      </w:pPr>
      <w:r>
        <w:t>I riflessi dell’accertamento societario</w:t>
      </w:r>
    </w:p>
    <w:p w:rsidR="00B7493D" w:rsidRDefault="00B7493D" w:rsidP="00F2402D">
      <w:pPr>
        <w:numPr>
          <w:ilvl w:val="0"/>
          <w:numId w:val="23"/>
        </w:numPr>
        <w:jc w:val="both"/>
      </w:pPr>
      <w:r>
        <w:t>La quota partecipativa</w:t>
      </w:r>
    </w:p>
    <w:p w:rsidR="00B7493D" w:rsidRDefault="00B7493D" w:rsidP="00F2402D">
      <w:pPr>
        <w:numPr>
          <w:ilvl w:val="0"/>
          <w:numId w:val="23"/>
        </w:numPr>
        <w:jc w:val="both"/>
      </w:pPr>
      <w:r>
        <w:t>L’evoluzione giurisprudenziale sulle c.d. società a ristretta base partecipativa</w:t>
      </w:r>
    </w:p>
    <w:p w:rsidR="00B7493D" w:rsidRDefault="00B7493D" w:rsidP="00F2402D">
      <w:pPr>
        <w:numPr>
          <w:ilvl w:val="0"/>
          <w:numId w:val="23"/>
        </w:numPr>
        <w:jc w:val="both"/>
      </w:pPr>
      <w:r>
        <w:t>Le ridotte possibilità difensive dei soci</w:t>
      </w:r>
    </w:p>
    <w:p w:rsidR="00B7493D" w:rsidRDefault="00B7493D" w:rsidP="00F2402D">
      <w:pPr>
        <w:jc w:val="both"/>
      </w:pPr>
    </w:p>
    <w:p w:rsidR="00B7493D" w:rsidRPr="00B7493D" w:rsidRDefault="00B7493D" w:rsidP="00F2402D">
      <w:pPr>
        <w:jc w:val="both"/>
        <w:rPr>
          <w:b/>
        </w:rPr>
      </w:pPr>
      <w:r w:rsidRPr="00B7493D">
        <w:rPr>
          <w:b/>
        </w:rPr>
        <w:t>La tematica delle società estinte</w:t>
      </w:r>
    </w:p>
    <w:p w:rsidR="00B7493D" w:rsidRDefault="00B7493D" w:rsidP="00F2402D">
      <w:pPr>
        <w:numPr>
          <w:ilvl w:val="0"/>
          <w:numId w:val="24"/>
        </w:numPr>
        <w:jc w:val="both"/>
      </w:pPr>
      <w:r>
        <w:t>Quadro normativo di riferimento</w:t>
      </w:r>
    </w:p>
    <w:p w:rsidR="00B7493D" w:rsidRDefault="00B7493D" w:rsidP="00F2402D">
      <w:pPr>
        <w:numPr>
          <w:ilvl w:val="0"/>
          <w:numId w:val="24"/>
        </w:numPr>
        <w:jc w:val="both"/>
      </w:pPr>
      <w:r>
        <w:t>La posizione della Corte di Cassazione</w:t>
      </w:r>
    </w:p>
    <w:p w:rsidR="00B7493D" w:rsidRDefault="00B7493D" w:rsidP="00F2402D">
      <w:pPr>
        <w:numPr>
          <w:ilvl w:val="0"/>
          <w:numId w:val="24"/>
        </w:numPr>
        <w:jc w:val="both"/>
      </w:pPr>
      <w:r>
        <w:t>La responsabilità residuale dei soci</w:t>
      </w:r>
    </w:p>
    <w:p w:rsidR="00B7493D" w:rsidRDefault="00B7493D" w:rsidP="00F2402D">
      <w:pPr>
        <w:jc w:val="both"/>
      </w:pPr>
    </w:p>
    <w:p w:rsidR="00B7493D" w:rsidRDefault="00B7493D" w:rsidP="00F2402D">
      <w:pPr>
        <w:jc w:val="both"/>
      </w:pPr>
    </w:p>
    <w:p w:rsidR="00B7493D" w:rsidRPr="00B7493D" w:rsidRDefault="00B7493D" w:rsidP="00F2402D">
      <w:pPr>
        <w:jc w:val="both"/>
        <w:rPr>
          <w:b/>
        </w:rPr>
      </w:pPr>
      <w:r w:rsidRPr="00B7493D">
        <w:rPr>
          <w:b/>
        </w:rPr>
        <w:t>Le previsioni dello statuto del contribuente</w:t>
      </w:r>
    </w:p>
    <w:p w:rsidR="00B7493D" w:rsidRDefault="00B7493D" w:rsidP="00F2402D">
      <w:pPr>
        <w:numPr>
          <w:ilvl w:val="0"/>
          <w:numId w:val="26"/>
        </w:numPr>
        <w:jc w:val="both"/>
      </w:pPr>
      <w:r>
        <w:t>Durata delle verifiche fiscali</w:t>
      </w:r>
    </w:p>
    <w:p w:rsidR="00B7493D" w:rsidRDefault="00B7493D" w:rsidP="00F2402D">
      <w:pPr>
        <w:numPr>
          <w:ilvl w:val="0"/>
          <w:numId w:val="26"/>
        </w:numPr>
        <w:jc w:val="both"/>
      </w:pPr>
      <w:r>
        <w:t>La produzione di memorie difensive</w:t>
      </w:r>
    </w:p>
    <w:p w:rsidR="00B7493D" w:rsidRDefault="00B7493D" w:rsidP="00F2402D">
      <w:pPr>
        <w:numPr>
          <w:ilvl w:val="0"/>
          <w:numId w:val="26"/>
        </w:numPr>
        <w:jc w:val="both"/>
      </w:pPr>
      <w:r>
        <w:t>L’utilizzo di prove acquisite irritualmente: la posizione della giurisprudenza</w:t>
      </w:r>
    </w:p>
    <w:p w:rsidR="00B7493D" w:rsidRDefault="00B7493D" w:rsidP="00F2402D">
      <w:pPr>
        <w:numPr>
          <w:ilvl w:val="0"/>
          <w:numId w:val="26"/>
        </w:numPr>
        <w:jc w:val="both"/>
      </w:pPr>
      <w:r>
        <w:t>L’emissione dell’accertamento prima del decorso dei 60 giorni di valutazione</w:t>
      </w:r>
    </w:p>
    <w:p w:rsidR="00B7493D" w:rsidRDefault="00B7493D" w:rsidP="00F2402D">
      <w:pPr>
        <w:jc w:val="both"/>
      </w:pPr>
    </w:p>
    <w:p w:rsidR="00B7493D" w:rsidRPr="00B7493D" w:rsidRDefault="00B7493D" w:rsidP="00F2402D">
      <w:pPr>
        <w:jc w:val="both"/>
        <w:rPr>
          <w:b/>
        </w:rPr>
      </w:pPr>
      <w:r w:rsidRPr="00B7493D">
        <w:rPr>
          <w:b/>
        </w:rPr>
        <w:t>L’accertamento con adesione</w:t>
      </w:r>
    </w:p>
    <w:p w:rsidR="00B7493D" w:rsidRDefault="00B7493D" w:rsidP="00F2402D">
      <w:pPr>
        <w:numPr>
          <w:ilvl w:val="0"/>
          <w:numId w:val="27"/>
        </w:numPr>
        <w:jc w:val="both"/>
      </w:pPr>
      <w:r>
        <w:t>La procedura</w:t>
      </w:r>
    </w:p>
    <w:p w:rsidR="00B7493D" w:rsidRDefault="00B7493D" w:rsidP="00F2402D">
      <w:pPr>
        <w:numPr>
          <w:ilvl w:val="0"/>
          <w:numId w:val="27"/>
        </w:numPr>
        <w:jc w:val="both"/>
      </w:pPr>
      <w:r>
        <w:t>La tempistica da rispettare</w:t>
      </w:r>
    </w:p>
    <w:p w:rsidR="00B7493D" w:rsidRDefault="00B7493D" w:rsidP="00F2402D">
      <w:pPr>
        <w:numPr>
          <w:ilvl w:val="0"/>
          <w:numId w:val="27"/>
        </w:numPr>
        <w:jc w:val="both"/>
      </w:pPr>
      <w:r>
        <w:t>Il litisconsorzio necessario</w:t>
      </w:r>
    </w:p>
    <w:p w:rsidR="00B7493D" w:rsidRDefault="00B7493D" w:rsidP="00F2402D">
      <w:pPr>
        <w:numPr>
          <w:ilvl w:val="0"/>
          <w:numId w:val="27"/>
        </w:numPr>
        <w:jc w:val="both"/>
      </w:pPr>
      <w:r>
        <w:t>Le conseguenze dell’adesione</w:t>
      </w:r>
    </w:p>
    <w:p w:rsidR="00B7493D" w:rsidRDefault="00B7493D" w:rsidP="00F2402D">
      <w:pPr>
        <w:numPr>
          <w:ilvl w:val="0"/>
          <w:numId w:val="27"/>
        </w:numPr>
        <w:jc w:val="both"/>
      </w:pPr>
      <w:r>
        <w:t>La riduzione delle sanzioni</w:t>
      </w:r>
    </w:p>
    <w:p w:rsidR="00B7493D" w:rsidRDefault="00B7493D" w:rsidP="00F2402D">
      <w:pPr>
        <w:jc w:val="both"/>
      </w:pPr>
    </w:p>
    <w:p w:rsidR="00B7493D" w:rsidRPr="00B7493D" w:rsidRDefault="00B7493D" w:rsidP="00F2402D">
      <w:pPr>
        <w:jc w:val="both"/>
        <w:rPr>
          <w:b/>
        </w:rPr>
      </w:pPr>
      <w:r w:rsidRPr="00B7493D">
        <w:rPr>
          <w:b/>
        </w:rPr>
        <w:t>La definizione dell’accertamento</w:t>
      </w:r>
    </w:p>
    <w:p w:rsidR="00B7493D" w:rsidRDefault="00B7493D" w:rsidP="00F2402D">
      <w:pPr>
        <w:numPr>
          <w:ilvl w:val="0"/>
          <w:numId w:val="28"/>
        </w:numPr>
        <w:jc w:val="both"/>
      </w:pPr>
      <w:r>
        <w:t>La modalità di definizione</w:t>
      </w:r>
    </w:p>
    <w:p w:rsidR="00B7493D" w:rsidRDefault="00B7493D" w:rsidP="00F2402D">
      <w:pPr>
        <w:numPr>
          <w:ilvl w:val="0"/>
          <w:numId w:val="28"/>
        </w:numPr>
        <w:jc w:val="both"/>
      </w:pPr>
      <w:r>
        <w:t>La riduzione delle sanzioni e la relativa rateazione degli importi</w:t>
      </w:r>
    </w:p>
    <w:p w:rsidR="00B7493D" w:rsidRDefault="00B7493D" w:rsidP="00F2402D">
      <w:pPr>
        <w:jc w:val="both"/>
      </w:pPr>
    </w:p>
    <w:p w:rsidR="00B7493D" w:rsidRDefault="00B7493D" w:rsidP="00F2402D">
      <w:pPr>
        <w:jc w:val="both"/>
      </w:pPr>
    </w:p>
    <w:p w:rsidR="00B7493D" w:rsidRDefault="00B7493D" w:rsidP="00F2402D">
      <w:pPr>
        <w:jc w:val="both"/>
      </w:pPr>
    </w:p>
    <w:p w:rsidR="00A11C28" w:rsidRDefault="00A11C28" w:rsidP="00A11C28">
      <w:pPr>
        <w:jc w:val="center"/>
        <w:rPr>
          <w:b/>
          <w:sz w:val="28"/>
          <w:szCs w:val="28"/>
        </w:rPr>
      </w:pPr>
      <w:r>
        <w:rPr>
          <w:b/>
          <w:sz w:val="28"/>
          <w:szCs w:val="28"/>
        </w:rPr>
        <w:t>04-06-2014 ore 9,30/13,00</w:t>
      </w:r>
    </w:p>
    <w:p w:rsidR="00B7493D" w:rsidRDefault="00B7493D" w:rsidP="00F2402D">
      <w:pPr>
        <w:jc w:val="both"/>
        <w:rPr>
          <w:b/>
          <w:sz w:val="28"/>
          <w:szCs w:val="28"/>
        </w:rPr>
      </w:pPr>
      <w:r w:rsidRPr="00F2402D">
        <w:rPr>
          <w:b/>
          <w:sz w:val="28"/>
          <w:szCs w:val="28"/>
        </w:rPr>
        <w:t xml:space="preserve">IV giornata: il contenzioso tributario, aspetti introduttivi. </w:t>
      </w:r>
      <w:r w:rsidR="00F2402D" w:rsidRPr="00F2402D">
        <w:rPr>
          <w:b/>
          <w:sz w:val="28"/>
          <w:szCs w:val="28"/>
        </w:rPr>
        <w:t>Ricorso, mediazione, conciliazione e appello</w:t>
      </w:r>
    </w:p>
    <w:p w:rsidR="00F2402D" w:rsidRDefault="00F2402D" w:rsidP="00F2402D">
      <w:pPr>
        <w:jc w:val="both"/>
        <w:rPr>
          <w:b/>
          <w:sz w:val="28"/>
          <w:szCs w:val="28"/>
        </w:rPr>
      </w:pPr>
    </w:p>
    <w:p w:rsidR="00F2402D" w:rsidRDefault="00F2402D" w:rsidP="00F2402D">
      <w:pPr>
        <w:jc w:val="both"/>
      </w:pPr>
    </w:p>
    <w:p w:rsidR="00F2402D" w:rsidRPr="00F2402D" w:rsidRDefault="00F2402D" w:rsidP="00F2402D">
      <w:pPr>
        <w:jc w:val="both"/>
        <w:rPr>
          <w:b/>
        </w:rPr>
      </w:pPr>
      <w:r w:rsidRPr="00F2402D">
        <w:rPr>
          <w:b/>
        </w:rPr>
        <w:t>La mediazione tributaria</w:t>
      </w:r>
      <w:r w:rsidR="000122F6">
        <w:rPr>
          <w:b/>
        </w:rPr>
        <w:t xml:space="preserve"> e la conciliazione</w:t>
      </w:r>
    </w:p>
    <w:p w:rsidR="00F2402D" w:rsidRDefault="00F2402D" w:rsidP="00F2402D">
      <w:pPr>
        <w:numPr>
          <w:ilvl w:val="0"/>
          <w:numId w:val="30"/>
        </w:numPr>
        <w:jc w:val="both"/>
      </w:pPr>
      <w:r>
        <w:t>Gli atti oggetto di mediazione</w:t>
      </w:r>
    </w:p>
    <w:p w:rsidR="00F2402D" w:rsidRDefault="00F2402D" w:rsidP="00F2402D">
      <w:pPr>
        <w:numPr>
          <w:ilvl w:val="0"/>
          <w:numId w:val="30"/>
        </w:numPr>
        <w:jc w:val="both"/>
      </w:pPr>
      <w:r>
        <w:t>La procedura da espletare</w:t>
      </w:r>
    </w:p>
    <w:p w:rsidR="00F2402D" w:rsidRDefault="00F2402D" w:rsidP="00F2402D">
      <w:pPr>
        <w:numPr>
          <w:ilvl w:val="0"/>
          <w:numId w:val="30"/>
        </w:numPr>
        <w:jc w:val="both"/>
      </w:pPr>
      <w:r>
        <w:t>La tempistica della mediazione</w:t>
      </w:r>
    </w:p>
    <w:p w:rsidR="00F2402D" w:rsidRDefault="00F2402D" w:rsidP="00F2402D">
      <w:pPr>
        <w:numPr>
          <w:ilvl w:val="0"/>
          <w:numId w:val="30"/>
        </w:numPr>
        <w:jc w:val="both"/>
      </w:pPr>
      <w:r>
        <w:t>Gli effetti della mediazione</w:t>
      </w:r>
    </w:p>
    <w:p w:rsidR="00F2402D" w:rsidRDefault="00F2402D" w:rsidP="00F2402D">
      <w:pPr>
        <w:numPr>
          <w:ilvl w:val="0"/>
          <w:numId w:val="30"/>
        </w:numPr>
        <w:jc w:val="both"/>
      </w:pPr>
      <w:r>
        <w:t>La violazione di procedibilità</w:t>
      </w:r>
      <w:r w:rsidR="000122F6">
        <w:t xml:space="preserve"> della mediazione</w:t>
      </w:r>
    </w:p>
    <w:p w:rsidR="000122F6" w:rsidRDefault="000122F6" w:rsidP="00F2402D">
      <w:pPr>
        <w:numPr>
          <w:ilvl w:val="0"/>
          <w:numId w:val="30"/>
        </w:numPr>
        <w:jc w:val="both"/>
      </w:pPr>
      <w:r>
        <w:t>La richiesta di conciliazione</w:t>
      </w:r>
    </w:p>
    <w:p w:rsidR="000122F6" w:rsidRDefault="000122F6" w:rsidP="00F2402D">
      <w:pPr>
        <w:numPr>
          <w:ilvl w:val="0"/>
          <w:numId w:val="30"/>
        </w:numPr>
        <w:jc w:val="both"/>
      </w:pPr>
      <w:r>
        <w:t>La conclusione e i relativi pagamenti</w:t>
      </w:r>
    </w:p>
    <w:p w:rsidR="00F2402D" w:rsidRDefault="00F2402D" w:rsidP="00F2402D">
      <w:pPr>
        <w:jc w:val="both"/>
      </w:pPr>
    </w:p>
    <w:p w:rsidR="00F2402D" w:rsidRPr="00F2402D" w:rsidRDefault="00F2402D" w:rsidP="00F2402D">
      <w:pPr>
        <w:jc w:val="both"/>
        <w:rPr>
          <w:b/>
        </w:rPr>
      </w:pPr>
      <w:r w:rsidRPr="00F2402D">
        <w:rPr>
          <w:b/>
        </w:rPr>
        <w:t>Il ricorso introduttivo</w:t>
      </w:r>
    </w:p>
    <w:p w:rsidR="00F2402D" w:rsidRDefault="00F2402D" w:rsidP="000122F6">
      <w:pPr>
        <w:numPr>
          <w:ilvl w:val="0"/>
          <w:numId w:val="31"/>
        </w:numPr>
        <w:jc w:val="both"/>
      </w:pPr>
      <w:r>
        <w:t>La costruzione del ricorso</w:t>
      </w:r>
    </w:p>
    <w:p w:rsidR="00F2402D" w:rsidRDefault="00F2402D" w:rsidP="000122F6">
      <w:pPr>
        <w:numPr>
          <w:ilvl w:val="0"/>
          <w:numId w:val="31"/>
        </w:numPr>
        <w:jc w:val="both"/>
      </w:pPr>
      <w:r>
        <w:t>La notifica dell’atto ed il rispetto dei termini</w:t>
      </w:r>
    </w:p>
    <w:p w:rsidR="00F2402D" w:rsidRDefault="000122F6" w:rsidP="000122F6">
      <w:pPr>
        <w:numPr>
          <w:ilvl w:val="0"/>
          <w:numId w:val="31"/>
        </w:numPr>
        <w:jc w:val="both"/>
      </w:pPr>
      <w:r>
        <w:t>Le indicazioni necessarie da riportare</w:t>
      </w:r>
    </w:p>
    <w:p w:rsidR="000122F6" w:rsidRDefault="000122F6" w:rsidP="000122F6">
      <w:pPr>
        <w:numPr>
          <w:ilvl w:val="0"/>
          <w:numId w:val="31"/>
        </w:numPr>
        <w:jc w:val="both"/>
      </w:pPr>
      <w:r>
        <w:t>Le diverse istanze da effettuare</w:t>
      </w:r>
    </w:p>
    <w:p w:rsidR="000122F6" w:rsidRDefault="000122F6" w:rsidP="000122F6">
      <w:pPr>
        <w:numPr>
          <w:ilvl w:val="0"/>
          <w:numId w:val="31"/>
        </w:numPr>
        <w:jc w:val="both"/>
      </w:pPr>
      <w:r>
        <w:t>La costruzione del fascicolo</w:t>
      </w:r>
    </w:p>
    <w:p w:rsidR="000122F6" w:rsidRDefault="000122F6" w:rsidP="000122F6">
      <w:pPr>
        <w:numPr>
          <w:ilvl w:val="0"/>
          <w:numId w:val="31"/>
        </w:numPr>
        <w:jc w:val="both"/>
      </w:pPr>
      <w:r>
        <w:t xml:space="preserve">La costituzione in giudizio </w:t>
      </w:r>
    </w:p>
    <w:p w:rsidR="000122F6" w:rsidRDefault="000122F6" w:rsidP="000122F6">
      <w:pPr>
        <w:numPr>
          <w:ilvl w:val="0"/>
          <w:numId w:val="31"/>
        </w:numPr>
        <w:jc w:val="both"/>
      </w:pPr>
      <w:r>
        <w:t>Il contributo unificato</w:t>
      </w:r>
    </w:p>
    <w:p w:rsidR="000122F6" w:rsidRDefault="000122F6" w:rsidP="00F2402D">
      <w:pPr>
        <w:jc w:val="both"/>
      </w:pPr>
    </w:p>
    <w:p w:rsidR="000122F6" w:rsidRPr="000122F6" w:rsidRDefault="000122F6" w:rsidP="00F2402D">
      <w:pPr>
        <w:jc w:val="both"/>
        <w:rPr>
          <w:b/>
        </w:rPr>
      </w:pPr>
      <w:r w:rsidRPr="000122F6">
        <w:rPr>
          <w:b/>
        </w:rPr>
        <w:t>La produzione di memorie</w:t>
      </w:r>
    </w:p>
    <w:p w:rsidR="000122F6" w:rsidRDefault="000122F6" w:rsidP="000122F6">
      <w:pPr>
        <w:numPr>
          <w:ilvl w:val="0"/>
          <w:numId w:val="33"/>
        </w:numPr>
        <w:jc w:val="both"/>
      </w:pPr>
      <w:r>
        <w:t>La valutazione della costituzione in giudizio dell’Ufficio</w:t>
      </w:r>
    </w:p>
    <w:p w:rsidR="000122F6" w:rsidRDefault="000122F6" w:rsidP="000122F6">
      <w:pPr>
        <w:numPr>
          <w:ilvl w:val="0"/>
          <w:numId w:val="33"/>
        </w:numPr>
        <w:jc w:val="both"/>
      </w:pPr>
      <w:r>
        <w:t>Il principio di non opposizione e gli istituti civilistici applicabili</w:t>
      </w:r>
    </w:p>
    <w:p w:rsidR="000122F6" w:rsidRDefault="000122F6" w:rsidP="000122F6">
      <w:pPr>
        <w:numPr>
          <w:ilvl w:val="0"/>
          <w:numId w:val="33"/>
        </w:numPr>
        <w:jc w:val="both"/>
      </w:pPr>
      <w:r>
        <w:t>La produzione di memorie integrative</w:t>
      </w:r>
    </w:p>
    <w:p w:rsidR="000122F6" w:rsidRDefault="000122F6" w:rsidP="00F2402D">
      <w:pPr>
        <w:jc w:val="both"/>
      </w:pPr>
    </w:p>
    <w:p w:rsidR="000122F6" w:rsidRPr="000122F6" w:rsidRDefault="000122F6" w:rsidP="00F2402D">
      <w:pPr>
        <w:jc w:val="both"/>
        <w:rPr>
          <w:b/>
        </w:rPr>
      </w:pPr>
      <w:r w:rsidRPr="000122F6">
        <w:rPr>
          <w:b/>
        </w:rPr>
        <w:lastRenderedPageBreak/>
        <w:t>Appello, appello incidentale o semplici controdeduzioni</w:t>
      </w:r>
    </w:p>
    <w:p w:rsidR="000122F6" w:rsidRDefault="000122F6" w:rsidP="000122F6">
      <w:pPr>
        <w:numPr>
          <w:ilvl w:val="0"/>
          <w:numId w:val="32"/>
        </w:numPr>
        <w:jc w:val="both"/>
      </w:pPr>
      <w:r>
        <w:t>La sentenza di primo grado e la sua analisi</w:t>
      </w:r>
    </w:p>
    <w:p w:rsidR="000122F6" w:rsidRDefault="000122F6" w:rsidP="000122F6">
      <w:pPr>
        <w:numPr>
          <w:ilvl w:val="0"/>
          <w:numId w:val="32"/>
        </w:numPr>
        <w:jc w:val="both"/>
      </w:pPr>
      <w:r>
        <w:t>I motivi di impugnazione</w:t>
      </w:r>
    </w:p>
    <w:p w:rsidR="000122F6" w:rsidRDefault="000122F6" w:rsidP="000122F6">
      <w:pPr>
        <w:numPr>
          <w:ilvl w:val="0"/>
          <w:numId w:val="32"/>
        </w:numPr>
        <w:jc w:val="both"/>
      </w:pPr>
      <w:r>
        <w:t>Il rispetto degli articoli 53 e 57 del D. Lgs. 546/92</w:t>
      </w:r>
    </w:p>
    <w:p w:rsidR="000122F6" w:rsidRDefault="000122F6" w:rsidP="000122F6">
      <w:pPr>
        <w:numPr>
          <w:ilvl w:val="0"/>
          <w:numId w:val="32"/>
        </w:numPr>
        <w:jc w:val="both"/>
      </w:pPr>
      <w:r>
        <w:t>Le notifiche da effettuarsi</w:t>
      </w:r>
    </w:p>
    <w:p w:rsidR="000122F6" w:rsidRDefault="000122F6" w:rsidP="000122F6">
      <w:pPr>
        <w:numPr>
          <w:ilvl w:val="0"/>
          <w:numId w:val="32"/>
        </w:numPr>
        <w:jc w:val="both"/>
      </w:pPr>
      <w:r>
        <w:t>L’appello incidentale</w:t>
      </w:r>
    </w:p>
    <w:p w:rsidR="000122F6" w:rsidRDefault="000122F6" w:rsidP="000122F6">
      <w:pPr>
        <w:numPr>
          <w:ilvl w:val="0"/>
          <w:numId w:val="32"/>
        </w:numPr>
        <w:jc w:val="both"/>
      </w:pPr>
      <w:r>
        <w:t>Il contributo unificato</w:t>
      </w:r>
    </w:p>
    <w:p w:rsidR="00AD70E6" w:rsidRDefault="000122F6" w:rsidP="00AD70E6">
      <w:pPr>
        <w:numPr>
          <w:ilvl w:val="0"/>
          <w:numId w:val="32"/>
        </w:numPr>
        <w:jc w:val="both"/>
      </w:pPr>
      <w:r>
        <w:t>La costituzione in giud</w:t>
      </w:r>
      <w:r w:rsidR="00AD70E6">
        <w:t>izio</w:t>
      </w:r>
    </w:p>
    <w:p w:rsidR="00AD70E6" w:rsidRDefault="00AD70E6" w:rsidP="00AD70E6">
      <w:pPr>
        <w:jc w:val="both"/>
      </w:pPr>
    </w:p>
    <w:p w:rsidR="00AD70E6" w:rsidRPr="00AD70E6" w:rsidRDefault="00AD70E6" w:rsidP="00AD70E6">
      <w:pPr>
        <w:jc w:val="both"/>
        <w:rPr>
          <w:b/>
        </w:rPr>
      </w:pPr>
      <w:r w:rsidRPr="00AD70E6">
        <w:rPr>
          <w:b/>
        </w:rPr>
        <w:t>I risvolti pratici</w:t>
      </w:r>
    </w:p>
    <w:p w:rsidR="00AD70E6" w:rsidRDefault="00AD70E6" w:rsidP="00AD70E6">
      <w:pPr>
        <w:numPr>
          <w:ilvl w:val="0"/>
          <w:numId w:val="34"/>
        </w:numPr>
        <w:jc w:val="both"/>
      </w:pPr>
      <w:r>
        <w:t>Analisi di un caso concreto</w:t>
      </w:r>
    </w:p>
    <w:p w:rsidR="00AD70E6" w:rsidRDefault="00AD70E6" w:rsidP="00AD70E6">
      <w:pPr>
        <w:numPr>
          <w:ilvl w:val="0"/>
          <w:numId w:val="34"/>
        </w:numPr>
        <w:jc w:val="both"/>
      </w:pPr>
      <w:r>
        <w:t>La problematica della mancata riassunzione</w:t>
      </w:r>
    </w:p>
    <w:p w:rsidR="000122F6" w:rsidRPr="00F2402D" w:rsidRDefault="000122F6" w:rsidP="00F2402D">
      <w:pPr>
        <w:jc w:val="both"/>
      </w:pPr>
    </w:p>
    <w:sectPr w:rsidR="000122F6" w:rsidRPr="00F2402D" w:rsidSect="00A3727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Berlin Sans FB">
    <w:altName w:val="Candara"/>
    <w:panose1 w:val="020E0602020502020306"/>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C2D19"/>
    <w:multiLevelType w:val="hybridMultilevel"/>
    <w:tmpl w:val="98E6292A"/>
    <w:lvl w:ilvl="0" w:tplc="D0F2852E">
      <w:start w:val="169"/>
      <w:numFmt w:val="bullet"/>
      <w:lvlText w:val="–"/>
      <w:lvlJc w:val="left"/>
      <w:pPr>
        <w:tabs>
          <w:tab w:val="num" w:pos="1440"/>
        </w:tabs>
        <w:ind w:left="1440" w:hanging="360"/>
      </w:pPr>
      <w:rPr>
        <w:rFonts w:ascii="Berlin Sans FB" w:hAnsi="Berlin Sans FB"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4FA25CD"/>
    <w:multiLevelType w:val="hybridMultilevel"/>
    <w:tmpl w:val="E3E8DD6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5592B4B"/>
    <w:multiLevelType w:val="hybridMultilevel"/>
    <w:tmpl w:val="105E63A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7C21FA4"/>
    <w:multiLevelType w:val="hybridMultilevel"/>
    <w:tmpl w:val="2FB489BE"/>
    <w:lvl w:ilvl="0" w:tplc="04100003">
      <w:start w:val="1"/>
      <w:numFmt w:val="bullet"/>
      <w:lvlText w:val="o"/>
      <w:lvlJc w:val="left"/>
      <w:pPr>
        <w:tabs>
          <w:tab w:val="num" w:pos="1440"/>
        </w:tabs>
        <w:ind w:left="144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8C62558"/>
    <w:multiLevelType w:val="hybridMultilevel"/>
    <w:tmpl w:val="D6FE627C"/>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706AF8"/>
    <w:multiLevelType w:val="hybridMultilevel"/>
    <w:tmpl w:val="113A3B20"/>
    <w:lvl w:ilvl="0" w:tplc="D0F2852E">
      <w:start w:val="169"/>
      <w:numFmt w:val="bullet"/>
      <w:lvlText w:val="–"/>
      <w:lvlJc w:val="left"/>
      <w:pPr>
        <w:tabs>
          <w:tab w:val="num" w:pos="1440"/>
        </w:tabs>
        <w:ind w:left="1440" w:hanging="360"/>
      </w:pPr>
      <w:rPr>
        <w:rFonts w:ascii="Berlin Sans FB" w:hAnsi="Berlin Sans FB"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20DD00F0"/>
    <w:multiLevelType w:val="hybridMultilevel"/>
    <w:tmpl w:val="4BCC67B2"/>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CC35B0"/>
    <w:multiLevelType w:val="hybridMultilevel"/>
    <w:tmpl w:val="A85A15DC"/>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E430B30"/>
    <w:multiLevelType w:val="hybridMultilevel"/>
    <w:tmpl w:val="E05A772E"/>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F5D3CA5"/>
    <w:multiLevelType w:val="hybridMultilevel"/>
    <w:tmpl w:val="727460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1DB6951"/>
    <w:multiLevelType w:val="hybridMultilevel"/>
    <w:tmpl w:val="41B6545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4E91941"/>
    <w:multiLevelType w:val="hybridMultilevel"/>
    <w:tmpl w:val="FE06C90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nsid w:val="37835C49"/>
    <w:multiLevelType w:val="multilevel"/>
    <w:tmpl w:val="68F639A4"/>
    <w:lvl w:ilvl="0">
      <w:start w:val="169"/>
      <w:numFmt w:val="bullet"/>
      <w:lvlText w:val="–"/>
      <w:lvlJc w:val="left"/>
      <w:pPr>
        <w:tabs>
          <w:tab w:val="num" w:pos="1440"/>
        </w:tabs>
        <w:ind w:left="1440" w:hanging="360"/>
      </w:pPr>
      <w:rPr>
        <w:rFonts w:ascii="Berlin Sans FB" w:hAnsi="Berlin Sans FB"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C1817E8"/>
    <w:multiLevelType w:val="hybridMultilevel"/>
    <w:tmpl w:val="BFFA78E8"/>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E2B4443"/>
    <w:multiLevelType w:val="hybridMultilevel"/>
    <w:tmpl w:val="1520AD76"/>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0425A63"/>
    <w:multiLevelType w:val="hybridMultilevel"/>
    <w:tmpl w:val="C01ECAF0"/>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1BC1AD4"/>
    <w:multiLevelType w:val="hybridMultilevel"/>
    <w:tmpl w:val="F4D8BC2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CA2725"/>
    <w:multiLevelType w:val="hybridMultilevel"/>
    <w:tmpl w:val="F0B4B0E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8">
    <w:nsid w:val="423F247E"/>
    <w:multiLevelType w:val="hybridMultilevel"/>
    <w:tmpl w:val="5276CD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67D736B"/>
    <w:multiLevelType w:val="hybridMultilevel"/>
    <w:tmpl w:val="64B4E044"/>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95630CC"/>
    <w:multiLevelType w:val="hybridMultilevel"/>
    <w:tmpl w:val="6C209D76"/>
    <w:lvl w:ilvl="0" w:tplc="D0F2852E">
      <w:start w:val="169"/>
      <w:numFmt w:val="bullet"/>
      <w:lvlText w:val="–"/>
      <w:lvlJc w:val="left"/>
      <w:pPr>
        <w:tabs>
          <w:tab w:val="num" w:pos="1440"/>
        </w:tabs>
        <w:ind w:left="144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5212448E"/>
    <w:multiLevelType w:val="hybridMultilevel"/>
    <w:tmpl w:val="9DB0E43A"/>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7400CFF"/>
    <w:multiLevelType w:val="hybridMultilevel"/>
    <w:tmpl w:val="68F639A4"/>
    <w:lvl w:ilvl="0" w:tplc="D0F2852E">
      <w:start w:val="169"/>
      <w:numFmt w:val="bullet"/>
      <w:lvlText w:val="–"/>
      <w:lvlJc w:val="left"/>
      <w:pPr>
        <w:tabs>
          <w:tab w:val="num" w:pos="1440"/>
        </w:tabs>
        <w:ind w:left="1440" w:hanging="360"/>
      </w:pPr>
      <w:rPr>
        <w:rFonts w:ascii="Berlin Sans FB" w:hAnsi="Berlin Sans FB"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57B04394"/>
    <w:multiLevelType w:val="hybridMultilevel"/>
    <w:tmpl w:val="8CB8FE1C"/>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19D211B"/>
    <w:multiLevelType w:val="hybridMultilevel"/>
    <w:tmpl w:val="9684D5AE"/>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5">
    <w:nsid w:val="65D43240"/>
    <w:multiLevelType w:val="hybridMultilevel"/>
    <w:tmpl w:val="193A0488"/>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5EA1245"/>
    <w:multiLevelType w:val="hybridMultilevel"/>
    <w:tmpl w:val="91563B7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nsid w:val="665C1EDE"/>
    <w:multiLevelType w:val="hybridMultilevel"/>
    <w:tmpl w:val="E0E09134"/>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9150C59"/>
    <w:multiLevelType w:val="hybridMultilevel"/>
    <w:tmpl w:val="E8908DEE"/>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A01070D"/>
    <w:multiLevelType w:val="hybridMultilevel"/>
    <w:tmpl w:val="45809698"/>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533041"/>
    <w:multiLevelType w:val="hybridMultilevel"/>
    <w:tmpl w:val="D7323A1A"/>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1">
    <w:nsid w:val="758A0FE6"/>
    <w:multiLevelType w:val="hybridMultilevel"/>
    <w:tmpl w:val="31AE5276"/>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8797944"/>
    <w:multiLevelType w:val="hybridMultilevel"/>
    <w:tmpl w:val="22E4F9B4"/>
    <w:lvl w:ilvl="0" w:tplc="0E761654">
      <w:start w:val="1"/>
      <w:numFmt w:val="bullet"/>
      <w:lvlText w:val=""/>
      <w:lvlJc w:val="left"/>
      <w:pPr>
        <w:ind w:left="1428" w:hanging="360"/>
      </w:pPr>
      <w:rPr>
        <w:rFonts w:ascii="Symbol" w:hAnsi="Symbol" w:hint="default"/>
        <w:color w:val="auto"/>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nsid w:val="799C25A7"/>
    <w:multiLevelType w:val="hybridMultilevel"/>
    <w:tmpl w:val="7BB65FD4"/>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22"/>
  </w:num>
  <w:num w:numId="4">
    <w:abstractNumId w:val="12"/>
  </w:num>
  <w:num w:numId="5">
    <w:abstractNumId w:val="3"/>
  </w:num>
  <w:num w:numId="6">
    <w:abstractNumId w:val="24"/>
  </w:num>
  <w:num w:numId="7">
    <w:abstractNumId w:val="14"/>
  </w:num>
  <w:num w:numId="8">
    <w:abstractNumId w:val="2"/>
  </w:num>
  <w:num w:numId="9">
    <w:abstractNumId w:val="33"/>
  </w:num>
  <w:num w:numId="10">
    <w:abstractNumId w:val="26"/>
  </w:num>
  <w:num w:numId="11">
    <w:abstractNumId w:val="10"/>
  </w:num>
  <w:num w:numId="12">
    <w:abstractNumId w:val="21"/>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9"/>
  </w:num>
  <w:num w:numId="16">
    <w:abstractNumId w:val="1"/>
  </w:num>
  <w:num w:numId="17">
    <w:abstractNumId w:val="11"/>
  </w:num>
  <w:num w:numId="18">
    <w:abstractNumId w:val="17"/>
  </w:num>
  <w:num w:numId="19">
    <w:abstractNumId w:val="30"/>
  </w:num>
  <w:num w:numId="20">
    <w:abstractNumId w:val="18"/>
  </w:num>
  <w:num w:numId="21">
    <w:abstractNumId w:val="32"/>
  </w:num>
  <w:num w:numId="22">
    <w:abstractNumId w:val="6"/>
  </w:num>
  <w:num w:numId="23">
    <w:abstractNumId w:val="13"/>
  </w:num>
  <w:num w:numId="24">
    <w:abstractNumId w:val="31"/>
  </w:num>
  <w:num w:numId="25">
    <w:abstractNumId w:val="28"/>
  </w:num>
  <w:num w:numId="26">
    <w:abstractNumId w:val="8"/>
  </w:num>
  <w:num w:numId="27">
    <w:abstractNumId w:val="15"/>
  </w:num>
  <w:num w:numId="28">
    <w:abstractNumId w:val="27"/>
  </w:num>
  <w:num w:numId="29">
    <w:abstractNumId w:val="25"/>
  </w:num>
  <w:num w:numId="30">
    <w:abstractNumId w:val="7"/>
  </w:num>
  <w:num w:numId="31">
    <w:abstractNumId w:val="29"/>
  </w:num>
  <w:num w:numId="32">
    <w:abstractNumId w:val="23"/>
  </w:num>
  <w:num w:numId="33">
    <w:abstractNumId w:val="4"/>
  </w:num>
  <w:num w:numId="3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0B77D5"/>
    <w:rsid w:val="000110D2"/>
    <w:rsid w:val="000122F6"/>
    <w:rsid w:val="00027EC2"/>
    <w:rsid w:val="00077AE0"/>
    <w:rsid w:val="000A49F5"/>
    <w:rsid w:val="000A76D6"/>
    <w:rsid w:val="000B77D5"/>
    <w:rsid w:val="001243AF"/>
    <w:rsid w:val="0015795A"/>
    <w:rsid w:val="0016743C"/>
    <w:rsid w:val="00193121"/>
    <w:rsid w:val="001D217A"/>
    <w:rsid w:val="001E11A2"/>
    <w:rsid w:val="00222EE5"/>
    <w:rsid w:val="00292CD2"/>
    <w:rsid w:val="002A6F65"/>
    <w:rsid w:val="003008FD"/>
    <w:rsid w:val="003036DD"/>
    <w:rsid w:val="00317BBC"/>
    <w:rsid w:val="00331978"/>
    <w:rsid w:val="00334242"/>
    <w:rsid w:val="003410B5"/>
    <w:rsid w:val="00344C8F"/>
    <w:rsid w:val="00363CC1"/>
    <w:rsid w:val="00377BEE"/>
    <w:rsid w:val="003A3502"/>
    <w:rsid w:val="003B59EB"/>
    <w:rsid w:val="003D61F1"/>
    <w:rsid w:val="003E152A"/>
    <w:rsid w:val="00467BE4"/>
    <w:rsid w:val="004D4FF5"/>
    <w:rsid w:val="00503D9A"/>
    <w:rsid w:val="00576E57"/>
    <w:rsid w:val="005B0791"/>
    <w:rsid w:val="005F6B18"/>
    <w:rsid w:val="00613A38"/>
    <w:rsid w:val="006227AD"/>
    <w:rsid w:val="0062713E"/>
    <w:rsid w:val="006428DD"/>
    <w:rsid w:val="00657F1B"/>
    <w:rsid w:val="00685B27"/>
    <w:rsid w:val="006A2070"/>
    <w:rsid w:val="006A4B20"/>
    <w:rsid w:val="006D2218"/>
    <w:rsid w:val="006E6AF3"/>
    <w:rsid w:val="00720A23"/>
    <w:rsid w:val="007363BE"/>
    <w:rsid w:val="00737961"/>
    <w:rsid w:val="00757F1A"/>
    <w:rsid w:val="00765A8B"/>
    <w:rsid w:val="00774AD5"/>
    <w:rsid w:val="00786D2F"/>
    <w:rsid w:val="007D319F"/>
    <w:rsid w:val="007E1229"/>
    <w:rsid w:val="007E180A"/>
    <w:rsid w:val="008306F7"/>
    <w:rsid w:val="00834F77"/>
    <w:rsid w:val="008432C4"/>
    <w:rsid w:val="008956B3"/>
    <w:rsid w:val="008B7411"/>
    <w:rsid w:val="008D7414"/>
    <w:rsid w:val="008E4B99"/>
    <w:rsid w:val="008F20D8"/>
    <w:rsid w:val="009017D6"/>
    <w:rsid w:val="00926B29"/>
    <w:rsid w:val="0093266E"/>
    <w:rsid w:val="0096720E"/>
    <w:rsid w:val="00983ACE"/>
    <w:rsid w:val="009B530E"/>
    <w:rsid w:val="00A11C28"/>
    <w:rsid w:val="00A17774"/>
    <w:rsid w:val="00A32B36"/>
    <w:rsid w:val="00A3727D"/>
    <w:rsid w:val="00A42DB0"/>
    <w:rsid w:val="00AA15E0"/>
    <w:rsid w:val="00AA4A95"/>
    <w:rsid w:val="00AB7130"/>
    <w:rsid w:val="00AC3079"/>
    <w:rsid w:val="00AD5A9C"/>
    <w:rsid w:val="00AD70E6"/>
    <w:rsid w:val="00AF3399"/>
    <w:rsid w:val="00B1698B"/>
    <w:rsid w:val="00B322FE"/>
    <w:rsid w:val="00B50880"/>
    <w:rsid w:val="00B57AEA"/>
    <w:rsid w:val="00B7493D"/>
    <w:rsid w:val="00BA053A"/>
    <w:rsid w:val="00BC6B1B"/>
    <w:rsid w:val="00BE1D14"/>
    <w:rsid w:val="00BF1432"/>
    <w:rsid w:val="00BF1534"/>
    <w:rsid w:val="00C34268"/>
    <w:rsid w:val="00C72CFA"/>
    <w:rsid w:val="00C76340"/>
    <w:rsid w:val="00C8134D"/>
    <w:rsid w:val="00CF241D"/>
    <w:rsid w:val="00CF4D27"/>
    <w:rsid w:val="00D05303"/>
    <w:rsid w:val="00D20F9C"/>
    <w:rsid w:val="00D25114"/>
    <w:rsid w:val="00D71C01"/>
    <w:rsid w:val="00D806BD"/>
    <w:rsid w:val="00DA3883"/>
    <w:rsid w:val="00DD3845"/>
    <w:rsid w:val="00DD5C47"/>
    <w:rsid w:val="00DE31DE"/>
    <w:rsid w:val="00E22C6A"/>
    <w:rsid w:val="00E32F7E"/>
    <w:rsid w:val="00E54842"/>
    <w:rsid w:val="00E56E1D"/>
    <w:rsid w:val="00E705C3"/>
    <w:rsid w:val="00E707C6"/>
    <w:rsid w:val="00E90FC5"/>
    <w:rsid w:val="00EA6EC8"/>
    <w:rsid w:val="00ED7D58"/>
    <w:rsid w:val="00EE15EE"/>
    <w:rsid w:val="00F11DA2"/>
    <w:rsid w:val="00F2402D"/>
    <w:rsid w:val="00F61040"/>
    <w:rsid w:val="00F76241"/>
    <w:rsid w:val="00FB5CF0"/>
    <w:rsid w:val="00FC075C"/>
    <w:rsid w:val="00FC7308"/>
    <w:rsid w:val="00FD08D3"/>
    <w:rsid w:val="00FE1887"/>
    <w:rsid w:val="00FE66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3727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4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820</Words>
  <Characters>4677</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Le nuove strategie di accertamento: dagli studi di settore alla ricerca di ulteriori elementi probatori</vt:lpstr>
    </vt:vector>
  </TitlesOfParts>
  <Company>.</Company>
  <LinksUpToDate>false</LinksUpToDate>
  <CharactersWithSpaces>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nuove strategie di accertamento: dagli studi di settore alla ricerca di ulteriori elementi probatori</dc:title>
  <dc:creator>Administrator</dc:creator>
  <cp:lastModifiedBy>user2</cp:lastModifiedBy>
  <cp:revision>4</cp:revision>
  <dcterms:created xsi:type="dcterms:W3CDTF">2014-04-28T10:37:00Z</dcterms:created>
  <dcterms:modified xsi:type="dcterms:W3CDTF">2014-05-05T09:37:00Z</dcterms:modified>
</cp:coreProperties>
</file>